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7A6756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0A4DC6CA" w14:textId="1CAB8109" w:rsidR="000B06A1" w:rsidRPr="00A047F1" w:rsidRDefault="00DC260C" w:rsidP="000B0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0B06A1"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723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Редкие новообразования шеи</w:t>
            </w:r>
            <w:r w:rsidR="000B06A1" w:rsidRPr="00A04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0B06A1" w:rsidRPr="00A04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5E0A75" w14:textId="64CFF1B9" w:rsidR="00D36ECD" w:rsidRPr="007A6756" w:rsidRDefault="000B06A1" w:rsidP="000B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7A6756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7A6756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7A6756" w14:paraId="4670A816" w14:textId="77777777" w:rsidTr="00E618B0">
        <w:tc>
          <w:tcPr>
            <w:tcW w:w="666" w:type="dxa"/>
          </w:tcPr>
          <w:p w14:paraId="5510B8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010C0AEA" w14:textId="56C99024" w:rsidR="000B06A1" w:rsidRPr="007A6756" w:rsidRDefault="000B06A1" w:rsidP="000B06A1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«</w:t>
            </w:r>
            <w:r w:rsidR="007232A3" w:rsidRPr="007232A3">
              <w:rPr>
                <w:sz w:val="20"/>
                <w:szCs w:val="20"/>
              </w:rPr>
              <w:t>Редкие новообразования шеи</w:t>
            </w:r>
            <w:r w:rsidRPr="007232A3">
              <w:rPr>
                <w:color w:val="000000"/>
                <w:sz w:val="20"/>
                <w:szCs w:val="20"/>
                <w:lang w:eastAsia="ru-RU" w:bidi="ru-RU"/>
              </w:rPr>
              <w:t>»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3BF87A17" w14:textId="460B6D27" w:rsidR="00D36ECD" w:rsidRPr="007A6756" w:rsidRDefault="000B06A1" w:rsidP="000B06A1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7A6756" w14:paraId="42C80AD6" w14:textId="77777777" w:rsidTr="00E618B0">
        <w:tc>
          <w:tcPr>
            <w:tcW w:w="666" w:type="dxa"/>
          </w:tcPr>
          <w:p w14:paraId="6AED24C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3762B922" w:rsidR="00D36ECD" w:rsidRPr="007A6756" w:rsidRDefault="001238A3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7A6756" w14:paraId="5AD80C72" w14:textId="77777777" w:rsidTr="00E618B0">
        <w:tc>
          <w:tcPr>
            <w:tcW w:w="666" w:type="dxa"/>
          </w:tcPr>
          <w:p w14:paraId="0F547F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0065C235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7A6756" w14:paraId="03E01DE4" w14:textId="77777777" w:rsidTr="00E618B0">
        <w:tc>
          <w:tcPr>
            <w:tcW w:w="666" w:type="dxa"/>
          </w:tcPr>
          <w:p w14:paraId="2D625D2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7A6756" w14:paraId="1936EA39" w14:textId="77777777" w:rsidTr="00E618B0">
        <w:tc>
          <w:tcPr>
            <w:tcW w:w="666" w:type="dxa"/>
          </w:tcPr>
          <w:p w14:paraId="47E759A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00A98E9C" w14:textId="77777777" w:rsidTr="00E618B0">
        <w:tc>
          <w:tcPr>
            <w:tcW w:w="666" w:type="dxa"/>
          </w:tcPr>
          <w:p w14:paraId="6AC44F5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7A6756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54C1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7A6756" w14:paraId="1CBAA089" w14:textId="77777777" w:rsidTr="00E618B0">
        <w:tc>
          <w:tcPr>
            <w:tcW w:w="666" w:type="dxa"/>
          </w:tcPr>
          <w:p w14:paraId="03D0AFB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124" w:type="dxa"/>
          </w:tcPr>
          <w:p w14:paraId="77F0FBE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3ED9C87C" w14:textId="77777777" w:rsidTr="00E618B0">
        <w:tc>
          <w:tcPr>
            <w:tcW w:w="666" w:type="dxa"/>
          </w:tcPr>
          <w:p w14:paraId="3EAD5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7A6756" w14:paraId="7ECBC93B" w14:textId="77777777" w:rsidTr="00E618B0">
        <w:tc>
          <w:tcPr>
            <w:tcW w:w="666" w:type="dxa"/>
          </w:tcPr>
          <w:p w14:paraId="43ED0F7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7A6756" w14:paraId="10A091AA" w14:textId="77777777" w:rsidTr="00E618B0">
        <w:tc>
          <w:tcPr>
            <w:tcW w:w="666" w:type="dxa"/>
          </w:tcPr>
          <w:p w14:paraId="6AF3CD3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7A6756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7A6756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7A6756" w14:paraId="32CA7606" w14:textId="77777777" w:rsidTr="00E618B0">
        <w:tc>
          <w:tcPr>
            <w:tcW w:w="666" w:type="dxa"/>
          </w:tcPr>
          <w:p w14:paraId="7B00E10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2DF6A050" w14:textId="77777777" w:rsidTr="00E618B0">
        <w:tc>
          <w:tcPr>
            <w:tcW w:w="666" w:type="dxa"/>
          </w:tcPr>
          <w:p w14:paraId="1C1E912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A2E136B" w14:textId="77777777" w:rsidTr="00E618B0">
        <w:tc>
          <w:tcPr>
            <w:tcW w:w="666" w:type="dxa"/>
          </w:tcPr>
          <w:p w14:paraId="6970F7B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7C2E800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1EF2F858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27.04.2023</w:t>
            </w:r>
          </w:p>
        </w:tc>
      </w:tr>
      <w:tr w:rsidR="006D7555" w:rsidRPr="007A6756" w14:paraId="47E5179B" w14:textId="77777777" w:rsidTr="00E618B0">
        <w:tc>
          <w:tcPr>
            <w:tcW w:w="666" w:type="dxa"/>
          </w:tcPr>
          <w:p w14:paraId="04ABECB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64D934C" w14:textId="77777777" w:rsidTr="00E618B0">
        <w:tc>
          <w:tcPr>
            <w:tcW w:w="666" w:type="dxa"/>
          </w:tcPr>
          <w:p w14:paraId="3AC767F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стоимость обучения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Указывается в рублях при выборе варианта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7A6756" w14:paraId="04A5D5BE" w14:textId="77777777" w:rsidTr="00E618B0">
        <w:tc>
          <w:tcPr>
            <w:tcW w:w="666" w:type="dxa"/>
          </w:tcPr>
          <w:p w14:paraId="4918AC3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0F3DBE62" w14:textId="77777777" w:rsidTr="00E618B0">
        <w:tc>
          <w:tcPr>
            <w:tcW w:w="666" w:type="dxa"/>
          </w:tcPr>
          <w:p w14:paraId="690597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7A6756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7A6756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7A6756" w14:paraId="1F48F196" w14:textId="77777777" w:rsidTr="00E618B0">
        <w:tc>
          <w:tcPr>
            <w:tcW w:w="666" w:type="dxa"/>
          </w:tcPr>
          <w:p w14:paraId="4E63267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Цель реализации программы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7A6756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7A6756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7A6756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7A6756">
              <w:rPr>
                <w:sz w:val="20"/>
                <w:szCs w:val="20"/>
              </w:rPr>
              <w:t>:</w:t>
            </w:r>
            <w:bookmarkEnd w:id="2"/>
          </w:p>
          <w:p w14:paraId="671E821F" w14:textId="7F7C5BB3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патогенетических особенностях развития </w:t>
            </w:r>
            <w:proofErr w:type="spellStart"/>
            <w:r w:rsidR="007232A3">
              <w:rPr>
                <w:sz w:val="20"/>
                <w:szCs w:val="20"/>
              </w:rPr>
              <w:t>параганглиом</w:t>
            </w:r>
            <w:proofErr w:type="spellEnd"/>
            <w:r w:rsidR="007232A3">
              <w:rPr>
                <w:sz w:val="20"/>
                <w:szCs w:val="20"/>
              </w:rPr>
              <w:t>, аденом паращитовидных желез</w:t>
            </w:r>
          </w:p>
          <w:p w14:paraId="1872DB92" w14:textId="73CCD757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методах диагностики </w:t>
            </w:r>
            <w:proofErr w:type="spellStart"/>
            <w:r w:rsidR="007232A3">
              <w:rPr>
                <w:sz w:val="20"/>
                <w:szCs w:val="20"/>
              </w:rPr>
              <w:t>параганглиом</w:t>
            </w:r>
            <w:proofErr w:type="spellEnd"/>
            <w:r w:rsidR="007232A3">
              <w:rPr>
                <w:sz w:val="20"/>
                <w:szCs w:val="20"/>
              </w:rPr>
              <w:t>, аденом паращитовидных желез</w:t>
            </w:r>
          </w:p>
          <w:p w14:paraId="095E30A2" w14:textId="716E085E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методах лечения </w:t>
            </w:r>
            <w:proofErr w:type="spellStart"/>
            <w:r w:rsidR="007232A3">
              <w:rPr>
                <w:sz w:val="20"/>
                <w:szCs w:val="20"/>
              </w:rPr>
              <w:lastRenderedPageBreak/>
              <w:t>параганглиом</w:t>
            </w:r>
            <w:proofErr w:type="spellEnd"/>
            <w:r w:rsidR="007232A3">
              <w:rPr>
                <w:sz w:val="20"/>
                <w:szCs w:val="20"/>
              </w:rPr>
              <w:t>, аденом паращитовидных желез</w:t>
            </w:r>
            <w:r w:rsidR="007232A3" w:rsidRPr="00A047F1">
              <w:rPr>
                <w:bCs/>
                <w:sz w:val="20"/>
                <w:szCs w:val="20"/>
                <w:lang w:eastAsia="ko-KR" w:bidi="ru-RU"/>
              </w:rPr>
              <w:t xml:space="preserve"> </w:t>
            </w:r>
          </w:p>
          <w:p w14:paraId="55A08C8B" w14:textId="77777777" w:rsidR="00764D22" w:rsidRPr="007A6756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7A6756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66BAD75F" w14:textId="3B0065C6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совершенствовать умения и владения для диагностики </w:t>
            </w:r>
            <w:proofErr w:type="spellStart"/>
            <w:r w:rsidR="007232A3">
              <w:rPr>
                <w:sz w:val="20"/>
                <w:szCs w:val="20"/>
              </w:rPr>
              <w:t>параганглиом</w:t>
            </w:r>
            <w:proofErr w:type="spellEnd"/>
            <w:r w:rsidR="007232A3">
              <w:rPr>
                <w:sz w:val="20"/>
                <w:szCs w:val="20"/>
              </w:rPr>
              <w:t>, аденом паращитовидных желез</w:t>
            </w:r>
          </w:p>
          <w:p w14:paraId="28E538D8" w14:textId="285E583C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совершенствовать умения и владения в проведении комплексного лечения пациентов с </w:t>
            </w:r>
            <w:proofErr w:type="spellStart"/>
            <w:r w:rsidR="007232A3">
              <w:rPr>
                <w:sz w:val="20"/>
                <w:szCs w:val="20"/>
              </w:rPr>
              <w:t>параганглиом</w:t>
            </w:r>
            <w:proofErr w:type="spellEnd"/>
            <w:r w:rsidR="007232A3">
              <w:rPr>
                <w:sz w:val="20"/>
                <w:szCs w:val="20"/>
              </w:rPr>
              <w:t>, аденом паращитовидных желез</w:t>
            </w:r>
            <w:r w:rsidRPr="007F48C1">
              <w:rPr>
                <w:sz w:val="20"/>
                <w:szCs w:val="20"/>
                <w:highlight w:val="yellow"/>
              </w:rPr>
              <w:t>.</w:t>
            </w:r>
          </w:p>
          <w:p w14:paraId="4AEDB8A4" w14:textId="50203338" w:rsidR="0007274E" w:rsidRPr="007A6756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2A2C4406" w14:textId="77777777" w:rsidR="007232A3" w:rsidRDefault="007232A3" w:rsidP="00A253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паращитовидных желез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45DABB" w14:textId="13F9ACC1" w:rsidR="007232A3" w:rsidRDefault="007232A3" w:rsidP="00A253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Каротидная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параганглиома</w:t>
            </w:r>
            <w:proofErr w:type="spellEnd"/>
          </w:p>
          <w:p w14:paraId="5EAC9E7C" w14:textId="233FED1F" w:rsidR="00D36ECD" w:rsidRPr="007A6756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7A6756" w14:paraId="2161FF2A" w14:textId="77777777" w:rsidTr="00E618B0">
        <w:tc>
          <w:tcPr>
            <w:tcW w:w="666" w:type="dxa"/>
          </w:tcPr>
          <w:p w14:paraId="4C68C8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17508483" w:rsidR="00EB0B25" w:rsidRPr="007A6756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7A6756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7A6756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7A67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4F8B26D5" w:rsidR="00EB0B25" w:rsidRPr="007A6756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«</w:t>
            </w:r>
            <w:r w:rsidR="00B6657C" w:rsidRPr="007A6756">
              <w:rPr>
                <w:rFonts w:ascii="Times New Roman" w:hAnsi="Times New Roman"/>
                <w:sz w:val="20"/>
                <w:szCs w:val="20"/>
              </w:rPr>
              <w:t>Актуальные вопросы лечения хирургических заболеваний и</w:t>
            </w:r>
            <w:r w:rsidR="008F01E6"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E6" w:rsidRPr="007A6756">
              <w:rPr>
                <w:rFonts w:ascii="Times New Roman" w:hAnsi="Times New Roman"/>
                <w:sz w:val="20"/>
                <w:szCs w:val="20"/>
              </w:rPr>
              <w:lastRenderedPageBreak/>
              <w:t>травм груди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»</w:t>
            </w:r>
            <w:r w:rsidR="001037C8">
              <w:rPr>
                <w:rFonts w:ascii="Times New Roman" w:hAnsi="Times New Roman"/>
                <w:sz w:val="20"/>
                <w:szCs w:val="20"/>
              </w:rPr>
              <w:t xml:space="preserve"> по специальности «Хирургия»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</w:t>
            </w:r>
            <w:proofErr w:type="spellStart"/>
            <w:r w:rsidRPr="007A6756">
              <w:rPr>
                <w:sz w:val="20"/>
                <w:szCs w:val="20"/>
                <w:highlight w:val="yellow"/>
              </w:rPr>
              <w:t>абилитации</w:t>
            </w:r>
            <w:proofErr w:type="spellEnd"/>
            <w:r w:rsidRPr="007A6756">
              <w:rPr>
                <w:sz w:val="20"/>
                <w:szCs w:val="20"/>
                <w:highlight w:val="yellow"/>
              </w:rPr>
              <w:t xml:space="preserve"> инвалидов;</w:t>
            </w:r>
          </w:p>
          <w:p w14:paraId="005D6046" w14:textId="7E81AB2F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3FADB12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контролировать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эффективность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мероприятий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 xml:space="preserve">по 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профилактике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образа жизни,</w:t>
            </w:r>
            <w:r w:rsidRPr="007A6756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7A6756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просвещению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7A6756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7A6756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распоряжении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медицинскую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помощь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в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экстренной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7A6756" w14:paraId="0213BACD" w14:textId="77777777" w:rsidTr="00E618B0">
        <w:tc>
          <w:tcPr>
            <w:tcW w:w="666" w:type="dxa"/>
          </w:tcPr>
          <w:p w14:paraId="4786BA63" w14:textId="7FCF3600" w:rsidR="00D36ECD" w:rsidRPr="007A6756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7A6756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7A6756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Деловая игра</w:t>
            </w:r>
          </w:p>
          <w:p w14:paraId="385601B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2A00BE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14:paraId="2C0A16A5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Аттестация в виде собеседования</w:t>
            </w:r>
          </w:p>
          <w:p w14:paraId="0F2A523C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7A6756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1FB0D8AF" w14:textId="77777777" w:rsidTr="00E618B0">
        <w:tc>
          <w:tcPr>
            <w:tcW w:w="666" w:type="dxa"/>
          </w:tcPr>
          <w:p w14:paraId="49F1F0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14:paraId="61B6DB5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764E90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1BEE8A61" w14:textId="77777777" w:rsidTr="00E618B0">
        <w:tc>
          <w:tcPr>
            <w:tcW w:w="666" w:type="dxa"/>
          </w:tcPr>
          <w:p w14:paraId="5E757A6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3B03CD7A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A565CCD" w14:textId="77777777" w:rsidTr="00E618B0">
        <w:tc>
          <w:tcPr>
            <w:tcW w:w="666" w:type="dxa"/>
          </w:tcPr>
          <w:p w14:paraId="293F62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3FE9718" w14:textId="2F26F169" w:rsidR="00DA79C2" w:rsidRPr="007A6756" w:rsidRDefault="005D190A" w:rsidP="00DA79C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5E2B14" w:rsidRPr="005E2B14">
              <w:rPr>
                <w:rFonts w:ascii="Times New Roman" w:hAnsi="Times New Roman"/>
                <w:b/>
                <w:i/>
                <w:sz w:val="20"/>
                <w:szCs w:val="20"/>
              </w:rPr>
              <w:t>лейомиом</w:t>
            </w:r>
            <w:r w:rsidR="005E2B14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proofErr w:type="spellEnd"/>
            <w:r w:rsidR="005E2B14" w:rsidRPr="005E2B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желудочно-кишечного тракт</w:t>
            </w:r>
            <w:r w:rsidR="005E2B14" w:rsidRPr="00A047F1">
              <w:rPr>
                <w:bCs/>
                <w:sz w:val="20"/>
                <w:szCs w:val="20"/>
                <w:lang w:eastAsia="ko-KR" w:bidi="ru-RU"/>
              </w:rPr>
              <w:t>а</w:t>
            </w:r>
          </w:p>
          <w:p w14:paraId="78972AEA" w14:textId="48F7404C" w:rsidR="00D36ECD" w:rsidRPr="007A6756" w:rsidRDefault="00D36ECD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10B" w:rsidRPr="007A6756" w14:paraId="62D8F163" w14:textId="77777777" w:rsidTr="00E618B0">
        <w:tc>
          <w:tcPr>
            <w:tcW w:w="666" w:type="dxa"/>
          </w:tcPr>
          <w:p w14:paraId="3E32FFD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7A6756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7A6756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7A6756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7A6756" w14:paraId="5D661B89" w14:textId="77777777" w:rsidTr="00E618B0">
        <w:tc>
          <w:tcPr>
            <w:tcW w:w="666" w:type="dxa"/>
          </w:tcPr>
          <w:p w14:paraId="0945B4B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0F2429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5832802" w14:textId="77777777" w:rsidTr="00E618B0">
        <w:tc>
          <w:tcPr>
            <w:tcW w:w="666" w:type="dxa"/>
          </w:tcPr>
          <w:p w14:paraId="313B378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21E2F14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7A6756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7932CAA" w14:textId="77777777" w:rsidTr="00E618B0">
        <w:tc>
          <w:tcPr>
            <w:tcW w:w="666" w:type="dxa"/>
          </w:tcPr>
          <w:p w14:paraId="13A290D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 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214BDBB0" w:rsidR="00CA2EAE" w:rsidRPr="007A6756" w:rsidRDefault="000B06A1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7A6756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610B" w:rsidRPr="007A6756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3FDC8FB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</w:t>
            </w:r>
            <w:r w:rsidR="002E3BD6" w:rsidRPr="007A67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ующие варианты </w:t>
            </w:r>
            <w:proofErr w:type="spellStart"/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ке</w:t>
            </w: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7A6756">
              <w:rPr>
                <w:sz w:val="20"/>
                <w:szCs w:val="20"/>
              </w:rPr>
              <w:t>.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3E30B411" w14:textId="77777777" w:rsidTr="00E618B0">
        <w:tc>
          <w:tcPr>
            <w:tcW w:w="666" w:type="dxa"/>
          </w:tcPr>
          <w:p w14:paraId="5D65667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F8FB437" w14:textId="77777777" w:rsidTr="00E618B0">
        <w:tc>
          <w:tcPr>
            <w:tcW w:w="666" w:type="dxa"/>
          </w:tcPr>
          <w:p w14:paraId="6D78D0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58E507D0" w14:textId="77777777" w:rsidTr="00E618B0">
        <w:tc>
          <w:tcPr>
            <w:tcW w:w="666" w:type="dxa"/>
          </w:tcPr>
          <w:p w14:paraId="27018AE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1A76B84E" w14:textId="77777777" w:rsidTr="00E618B0">
        <w:tc>
          <w:tcPr>
            <w:tcW w:w="666" w:type="dxa"/>
          </w:tcPr>
          <w:p w14:paraId="656992B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7118049C" w14:textId="77777777" w:rsidTr="00E618B0">
        <w:tc>
          <w:tcPr>
            <w:tcW w:w="666" w:type="dxa"/>
          </w:tcPr>
          <w:p w14:paraId="5789425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64C0128" w14:textId="77777777" w:rsidTr="00E618B0">
        <w:tc>
          <w:tcPr>
            <w:tcW w:w="666" w:type="dxa"/>
          </w:tcPr>
          <w:p w14:paraId="2516BFD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7A6756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19DC28B" w14:textId="77777777" w:rsidTr="00E618B0">
        <w:tc>
          <w:tcPr>
            <w:tcW w:w="666" w:type="dxa"/>
          </w:tcPr>
          <w:p w14:paraId="2CD507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4F7DFFD8" w:rsidR="00CA2EAE" w:rsidRPr="007A6756" w:rsidRDefault="000B06A1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786761D9" w14:textId="77777777" w:rsidTr="00E618B0">
        <w:tc>
          <w:tcPr>
            <w:tcW w:w="666" w:type="dxa"/>
          </w:tcPr>
          <w:p w14:paraId="1C3CF7E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Используемые виды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При реализации ДПП полностью или частично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7E7A3408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7A6756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</w:rPr>
              <w:lastRenderedPageBreak/>
              <w:t>Синхронное обучение:</w:t>
            </w:r>
          </w:p>
          <w:p w14:paraId="74212FD9" w14:textId="77777777" w:rsidR="000411F4" w:rsidRPr="007A6756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Вебинар</w:t>
            </w:r>
          </w:p>
          <w:p w14:paraId="38358621" w14:textId="77777777" w:rsidR="00CA2EAE" w:rsidRPr="007A6756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7B822C5A" w14:textId="77777777" w:rsidTr="00E618B0">
        <w:tc>
          <w:tcPr>
            <w:tcW w:w="666" w:type="dxa"/>
          </w:tcPr>
          <w:p w14:paraId="3121B51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21.4.</w:t>
            </w:r>
          </w:p>
        </w:tc>
        <w:tc>
          <w:tcPr>
            <w:tcW w:w="2124" w:type="dxa"/>
          </w:tcPr>
          <w:p w14:paraId="752C5B7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131AC28" w14:textId="77777777" w:rsidTr="00E618B0">
        <w:tc>
          <w:tcPr>
            <w:tcW w:w="666" w:type="dxa"/>
          </w:tcPr>
          <w:p w14:paraId="4BEC7F0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19C70FC9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04B5460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Подкасты (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168A42CF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27FA61F6" w14:textId="77777777" w:rsidTr="00E618B0">
        <w:tc>
          <w:tcPr>
            <w:tcW w:w="666" w:type="dxa"/>
          </w:tcPr>
          <w:p w14:paraId="79A653C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19669388" w14:textId="77777777" w:rsidTr="00E618B0">
        <w:tc>
          <w:tcPr>
            <w:tcW w:w="666" w:type="dxa"/>
          </w:tcPr>
          <w:p w14:paraId="4B8CD3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7A6756" w14:paraId="1F92CDCD" w14:textId="77777777" w:rsidTr="00E618B0">
        <w:tc>
          <w:tcPr>
            <w:tcW w:w="666" w:type="dxa"/>
          </w:tcPr>
          <w:p w14:paraId="0F36992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DFD17BF" w14:textId="77777777" w:rsidTr="00E618B0">
        <w:tc>
          <w:tcPr>
            <w:tcW w:w="666" w:type="dxa"/>
          </w:tcPr>
          <w:p w14:paraId="5DEDFD7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40AD76A9" w14:textId="77777777" w:rsidTr="00E618B0">
        <w:tc>
          <w:tcPr>
            <w:tcW w:w="666" w:type="dxa"/>
          </w:tcPr>
          <w:p w14:paraId="5184D4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22.2.</w:t>
            </w:r>
          </w:p>
        </w:tc>
        <w:tc>
          <w:tcPr>
            <w:tcW w:w="2124" w:type="dxa"/>
          </w:tcPr>
          <w:p w14:paraId="6FD446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0C6D518" w14:textId="77777777" w:rsidTr="00E618B0">
        <w:tc>
          <w:tcPr>
            <w:tcW w:w="666" w:type="dxa"/>
          </w:tcPr>
          <w:p w14:paraId="59ADF66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7A6756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7A6756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7A6756" w14:paraId="586D3C25" w14:textId="77777777" w:rsidTr="00E618B0">
        <w:tc>
          <w:tcPr>
            <w:tcW w:w="666" w:type="dxa"/>
          </w:tcPr>
          <w:p w14:paraId="45C3D4FD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7A2AF249" w:rsidR="008D0B75" w:rsidRPr="007A6756" w:rsidRDefault="007A6756" w:rsidP="00970D7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Хирургия</w:t>
            </w:r>
          </w:p>
        </w:tc>
      </w:tr>
      <w:tr w:rsidR="0086610B" w:rsidRPr="007A6756" w14:paraId="4C7C6AFE" w14:textId="77777777" w:rsidTr="00E618B0">
        <w:tc>
          <w:tcPr>
            <w:tcW w:w="666" w:type="dxa"/>
          </w:tcPr>
          <w:p w14:paraId="71A93DCA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7A6756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7A6756" w14:paraId="0359B968" w14:textId="77777777" w:rsidTr="00E618B0">
        <w:tc>
          <w:tcPr>
            <w:tcW w:w="666" w:type="dxa"/>
          </w:tcPr>
          <w:p w14:paraId="5C216A3D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7A6756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23BC190C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7A6756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7A6756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7A6756" w14:paraId="43E03833" w14:textId="77777777" w:rsidTr="00E618B0">
        <w:tc>
          <w:tcPr>
            <w:tcW w:w="666" w:type="dxa"/>
          </w:tcPr>
          <w:p w14:paraId="122FF6B8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7A6756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7A6756" w14:paraId="26847488" w14:textId="77777777" w:rsidTr="00E618B0">
        <w:tc>
          <w:tcPr>
            <w:tcW w:w="666" w:type="dxa"/>
          </w:tcPr>
          <w:p w14:paraId="0BD8D180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CEC7805" w14:textId="77777777" w:rsidTr="00E618B0">
        <w:tc>
          <w:tcPr>
            <w:tcW w:w="666" w:type="dxa"/>
          </w:tcPr>
          <w:p w14:paraId="427754F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7A6756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7A6756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7A6756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7A6756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7A6756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01D3" w14:textId="77777777" w:rsidR="00E83675" w:rsidRDefault="00E83675" w:rsidP="008D0B75">
      <w:pPr>
        <w:spacing w:after="0" w:line="240" w:lineRule="auto"/>
      </w:pPr>
      <w:r>
        <w:separator/>
      </w:r>
    </w:p>
  </w:endnote>
  <w:endnote w:type="continuationSeparator" w:id="0">
    <w:p w14:paraId="4129D95C" w14:textId="77777777" w:rsidR="00E83675" w:rsidRDefault="00E83675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DCEF" w14:textId="77777777" w:rsidR="00E83675" w:rsidRDefault="00E83675" w:rsidP="008D0B75">
      <w:pPr>
        <w:spacing w:after="0" w:line="240" w:lineRule="auto"/>
      </w:pPr>
      <w:r>
        <w:separator/>
      </w:r>
    </w:p>
  </w:footnote>
  <w:footnote w:type="continuationSeparator" w:id="0">
    <w:p w14:paraId="4DA9F1E4" w14:textId="77777777" w:rsidR="00E83675" w:rsidRDefault="00E83675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B06A1"/>
    <w:rsid w:val="000D39C2"/>
    <w:rsid w:val="001037C8"/>
    <w:rsid w:val="001238A3"/>
    <w:rsid w:val="001420CC"/>
    <w:rsid w:val="0016797A"/>
    <w:rsid w:val="0017318C"/>
    <w:rsid w:val="00176E2A"/>
    <w:rsid w:val="0019475A"/>
    <w:rsid w:val="001B5257"/>
    <w:rsid w:val="0029478F"/>
    <w:rsid w:val="002D770B"/>
    <w:rsid w:val="002E3BD6"/>
    <w:rsid w:val="0031708F"/>
    <w:rsid w:val="00351694"/>
    <w:rsid w:val="0035542E"/>
    <w:rsid w:val="0037710B"/>
    <w:rsid w:val="003B3FCF"/>
    <w:rsid w:val="003B651D"/>
    <w:rsid w:val="003F6851"/>
    <w:rsid w:val="00401DC0"/>
    <w:rsid w:val="004354A7"/>
    <w:rsid w:val="00456592"/>
    <w:rsid w:val="00465CE8"/>
    <w:rsid w:val="0046689C"/>
    <w:rsid w:val="00575227"/>
    <w:rsid w:val="005B5AF4"/>
    <w:rsid w:val="005D190A"/>
    <w:rsid w:val="005E2B14"/>
    <w:rsid w:val="006D7555"/>
    <w:rsid w:val="0072247E"/>
    <w:rsid w:val="007232A3"/>
    <w:rsid w:val="00730E03"/>
    <w:rsid w:val="00732EDF"/>
    <w:rsid w:val="00747CC1"/>
    <w:rsid w:val="00764D22"/>
    <w:rsid w:val="007805ED"/>
    <w:rsid w:val="00785E52"/>
    <w:rsid w:val="007A1538"/>
    <w:rsid w:val="007A6756"/>
    <w:rsid w:val="007B3906"/>
    <w:rsid w:val="007E7B9A"/>
    <w:rsid w:val="007F48C1"/>
    <w:rsid w:val="008022BE"/>
    <w:rsid w:val="0086610B"/>
    <w:rsid w:val="008C356E"/>
    <w:rsid w:val="008C4872"/>
    <w:rsid w:val="008D0B75"/>
    <w:rsid w:val="008D5DAC"/>
    <w:rsid w:val="008D6F85"/>
    <w:rsid w:val="008E21C9"/>
    <w:rsid w:val="008F01E6"/>
    <w:rsid w:val="0091531E"/>
    <w:rsid w:val="00970D78"/>
    <w:rsid w:val="009D03FF"/>
    <w:rsid w:val="009E2F75"/>
    <w:rsid w:val="009F6446"/>
    <w:rsid w:val="00A047F1"/>
    <w:rsid w:val="00A06B21"/>
    <w:rsid w:val="00A07385"/>
    <w:rsid w:val="00A253BB"/>
    <w:rsid w:val="00AB741D"/>
    <w:rsid w:val="00AE4F09"/>
    <w:rsid w:val="00B13448"/>
    <w:rsid w:val="00B6657C"/>
    <w:rsid w:val="00B8066B"/>
    <w:rsid w:val="00BA0A11"/>
    <w:rsid w:val="00BE192D"/>
    <w:rsid w:val="00C27A4C"/>
    <w:rsid w:val="00C35D39"/>
    <w:rsid w:val="00C56A16"/>
    <w:rsid w:val="00C6415F"/>
    <w:rsid w:val="00C72D5D"/>
    <w:rsid w:val="00CA2EAE"/>
    <w:rsid w:val="00CA4FE6"/>
    <w:rsid w:val="00CF5711"/>
    <w:rsid w:val="00D33E28"/>
    <w:rsid w:val="00D36ECD"/>
    <w:rsid w:val="00D65248"/>
    <w:rsid w:val="00DA79C2"/>
    <w:rsid w:val="00DC260C"/>
    <w:rsid w:val="00E0291D"/>
    <w:rsid w:val="00E30A88"/>
    <w:rsid w:val="00E354C1"/>
    <w:rsid w:val="00E35FB0"/>
    <w:rsid w:val="00E618B0"/>
    <w:rsid w:val="00E83675"/>
    <w:rsid w:val="00E953E6"/>
    <w:rsid w:val="00EB0B25"/>
    <w:rsid w:val="00ED7C55"/>
    <w:rsid w:val="00EE38E8"/>
    <w:rsid w:val="00F17632"/>
    <w:rsid w:val="00F20B78"/>
    <w:rsid w:val="00F671B6"/>
    <w:rsid w:val="00F8434D"/>
    <w:rsid w:val="00F90A5F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Yurij Lutcenko</cp:lastModifiedBy>
  <cp:revision>2</cp:revision>
  <dcterms:created xsi:type="dcterms:W3CDTF">2023-09-16T08:04:00Z</dcterms:created>
  <dcterms:modified xsi:type="dcterms:W3CDTF">2023-09-16T08:04:00Z</dcterms:modified>
</cp:coreProperties>
</file>